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90.png" ContentType="image/png"/>
  <Override PartName="/word/media/rId93.png" ContentType="image/png"/>
  <Override PartName="/word/media/rId87.png" ContentType="image/png"/>
  <Override PartName="/word/media/rId99.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Elucidating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rPr>
          <w:bCs/>
          <w:b/>
        </w:rPr>
        <w:t xml:space="preserve">Background:</w:t>
      </w:r>
      <w:r>
        <w:t xml:space="preserve"> </w:t>
      </w:r>
      <w:r>
        <w:t xml:space="preserve">Hemorrhagic enteritis (HE) is a disease affecting 6-12-week-old turkeys characterized by</w:t>
      </w:r>
      <w:r>
        <w:t xml:space="preserve"> </w:t>
      </w:r>
      <w:r>
        <w:rPr>
          <w:iCs/>
          <w:i/>
        </w:rPr>
        <w:t xml:space="preserve">immunosuppression (IS)</w:t>
      </w:r>
      <w:r>
        <w:t xml:space="preserve"> </w:t>
      </w:r>
      <w:r>
        <w:t xml:space="preserve">and bloody diarrhea. This disease is caused by</w:t>
      </w:r>
      <w:r>
        <w:t xml:space="preserve"> </w:t>
      </w:r>
      <w:r>
        <w:rPr>
          <w:iCs/>
          <w:i/>
        </w:rPr>
        <w:t xml:space="preserve">Turkey Hemorrhagic Enteritis Virus (THEV)</w:t>
      </w:r>
      <w:r>
        <w:t xml:space="preserve"> </w:t>
      </w:r>
      <w:r>
        <w:t xml:space="preserve">of which avirulent strains (THEV-A) that do not cause HE but retain the immunosuppressive ability have been isolated. The THEV-A Virginia Avirulent Strain (VAS) is still used as a live vaccine despite its immunosuppressive properties.</w:t>
      </w:r>
      <w:r>
        <w:t xml:space="preserve"> </w:t>
      </w:r>
      <w:r>
        <w:rPr>
          <w:iCs/>
          <w:i/>
        </w:rPr>
        <w:t xml:space="preserve">Our objective is to understand the genetic basis by which VAS induces IS</w:t>
      </w:r>
      <w:r>
        <w:t xml:space="preserve">. The</w:t>
      </w:r>
      <w:r>
        <w:t xml:space="preserve"> </w:t>
      </w:r>
      <w:r>
        <w:rPr>
          <w:iCs/>
          <w:i/>
        </w:rPr>
        <w:t xml:space="preserve">transcriptome of THEV</w:t>
      </w:r>
      <w:r>
        <w:t xml:space="preserve"> </w:t>
      </w:r>
      <w:r>
        <w:t xml:space="preserve">was studied to set the stage for further experimentation with specific viral genes that may mediate IS.</w:t>
      </w:r>
      <w:r>
        <w:br/>
      </w:r>
      <w:r>
        <w:rPr>
          <w:bCs/>
          <w:b/>
        </w:rPr>
        <w:t xml:space="preserve">Methods:</w:t>
      </w:r>
      <w:r>
        <w:t xml:space="preserve"> </w:t>
      </w:r>
      <w:r>
        <w:t xml:space="preserve">After infecting a turkey B-cell line (MDTC-RP19) with the VAS vaccine strain, samples in triplicates were collected at 4-, 12-, 24-, and 72-hours post-infection. Total RNA was subsequently extracted, and poly-A-tailed mRNA sequencing done. After trimming the raw sequencing reads with the</w:t>
      </w:r>
      <w:r>
        <w:t xml:space="preserve"> </w:t>
      </w:r>
      <w:r>
        <w:rPr>
          <w:rStyle w:val="VerbatimChar"/>
        </w:rPr>
        <w:t xml:space="preserve">FastQC</w:t>
      </w:r>
      <w:r>
        <w:t xml:space="preserve">, reads were mapped to the THEV genome using</w:t>
      </w:r>
      <w:r>
        <w:t xml:space="preserve"> </w:t>
      </w:r>
      <w:r>
        <w:rPr>
          <w:rStyle w:val="VerbatimChar"/>
        </w:rPr>
        <w:t xml:space="preserve">Hisat2</w:t>
      </w:r>
      <w:r>
        <w:t xml:space="preserve"> </w:t>
      </w:r>
      <w:r>
        <w:t xml:space="preserve">and transcripts assembled with</w:t>
      </w:r>
      <w:r>
        <w:t xml:space="preserve"> </w:t>
      </w:r>
      <w:r>
        <w:rPr>
          <w:rStyle w:val="VerbatimChar"/>
        </w:rPr>
        <w:t xml:space="preserve">StringTie</w:t>
      </w:r>
      <w:r>
        <w:t xml:space="preserve">. An in-house script was used to consolidate transcripts from all time-points, generating the final transcriptome. PCR, gel electrophoresis, and Sanger sequencing were used to validate all identified splice junctions.</w:t>
      </w:r>
      <w:r>
        <w:br/>
      </w:r>
      <w:r>
        <w:rPr>
          <w:bCs/>
          <w:b/>
        </w:rPr>
        <w:t xml:space="preserve">Results and Conclusions:</w:t>
      </w:r>
      <w:r>
        <w:t xml:space="preserve"> </w:t>
      </w:r>
      <w:r>
        <w:t xml:space="preserve">A total of</w:t>
      </w:r>
      <w:r>
        <w:t xml:space="preserve"> </w:t>
      </w:r>
      <w:r>
        <w:rPr>
          <w:bCs/>
          <w:b/>
        </w:rPr>
        <w:t xml:space="preserve">18.1</w:t>
      </w:r>
      <w:r>
        <w:t xml:space="preserve"> </w:t>
      </w:r>
      <w:r>
        <w:t xml:space="preserve">million reads mapped to THEV genome providing good coverage/depth, leaving no regions unmapped. All predicted genes in the genome were represented. In keeping with all adenoviruses, all transcripts were spliced with either with 5’- or 3’-multi exon UTRs hitherto unknown.</w:t>
      </w:r>
      <w:r>
        <w:t xml:space="preserve"> </w:t>
      </w:r>
      <w:r>
        <w:rPr>
          <w:strike/>
          <w:iCs/>
          <w:i/>
        </w:rPr>
        <w:t xml:space="preserve">Thirteen</w:t>
      </w:r>
      <w:r>
        <w:t xml:space="preserve"> </w:t>
      </w:r>
      <w:r>
        <w:t xml:space="preserve">novel exons were identified which were validated by PCR and Sanger sequencing. The splicing patterns strongly suggest that there are</w:t>
      </w:r>
      <w:r>
        <w:t xml:space="preserve"> </w:t>
      </w:r>
      <w:r>
        <w:rPr>
          <w:strike/>
          <w:iCs/>
          <w:i/>
        </w:rPr>
        <w:t xml:space="preserve">three</w:t>
      </w:r>
      <w:r>
        <w:t xml:space="preserve"> </w:t>
      </w:r>
      <w:r>
        <w:t xml:space="preserve">main promoters (E1, E3, and major late promoters) driving expression of most of the genes with</w:t>
      </w:r>
      <w:r>
        <w:t xml:space="preserve"> </w:t>
      </w:r>
      <w:r>
        <w:rPr>
          <w:strike/>
          <w:iCs/>
          <w:i/>
        </w:rPr>
        <w:t xml:space="preserve">two</w:t>
      </w:r>
      <w:r>
        <w:t xml:space="preserve"> </w:t>
      </w:r>
      <w:r>
        <w:t xml:space="preserve">possible minor promoters driving single genes (ORF7 and ORF8). This RNA-sequencing experiment is the first study of THEV gene expression to date. In keeping with other Adenoviruses, almost all THEV genes are spliced, and several genes are expressed as one transcription unit under a single promoter. This insight into THEV’s transcriptome may allow the engineering of the VAS to provide immune protection with less or no associated IS.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a highly complex alternative splicing pattern</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strains (THEV-V) and avirulent strains (THEV-A) of THEV are serologically indistinguishable, infecting turkeys, chickens, and pheasants and the THEV-V cause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have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The induced IS also interferes with vaccination schemes for other infections of turkeys</w:t>
      </w:r>
      <w:r>
        <w:t xml:space="preserve"> </w:t>
      </w:r>
      <w:r>
        <w:t xml:space="preserve">(11, 14)</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the next leap forward in THEV research -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which generates five families of late mRNAs (L1-L5).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MAdV makes an extensive use of alternative RNA splicing to produce a very complex array of mRNAs; all but pIX mRNA undergo at least one splicing event.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5’-UTRs spliced onto different 3’ coding exons which are grouped into five different 3’-end classes (L1-L5). Each transcription unit (TU) contains its own promoter driving the expression of all the array of mRNA transcripts produced via alternative splicing of the genes encoded in the unit</w:t>
      </w:r>
      <w:r>
        <w:t xml:space="preserve">(6, 17, 18)</w:t>
      </w:r>
      <w:r>
        <w:t xml:space="preserve">. Almost all AdV mRNAs are generated by the excision of one or more introns and most of these introns are located in the 5’ or 3’ UTRs of pre-mRNA. Thus the viral introns scarcely interrupt the open reading frames (ORFs)</w:t>
      </w:r>
      <w:r>
        <w:t xml:space="preserve"> </w:t>
      </w:r>
      <w:r>
        <w:t xml:space="preserve">(1, 18)</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(18, 21)</w:t>
      </w:r>
      <w:r>
        <w:t xml:space="preserve">.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 The generated data from our paired-end sequencing experiment should thus be reliable.</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Zeinab</w:t>
      </w:r>
      <w:r>
        <w:t xml:space="preserve"> </w:t>
      </w:r>
      <w:r>
        <w:rPr>
          <w:iCs/>
          <w:i/>
        </w:rPr>
        <w:t xml:space="preserve">et al</w:t>
      </w:r>
      <w:r>
        <w:t xml:space="preserve"> </w:t>
      </w:r>
      <w:r>
        <w:t xml:space="preserve">showed that almost all THEV transcripts were detectable beginning at 4 hours</w:t>
      </w:r>
      <w:r>
        <w:t xml:space="preserve"> </w:t>
      </w:r>
      <w:r>
        <w:t xml:space="preserve">(22)</w:t>
      </w:r>
      <w:r>
        <w:t xml:space="preserve">. Therefore, infected MDTC-RP19 cells were harvested at 4-, 12-, 24-, and 72-hours post-infection(h.p.i)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M.gallopavo</w:t>
      </w:r>
      <w:r>
        <w:t xml:space="preserve">) genomes using the</w:t>
      </w:r>
      <w:r>
        <w:t xml:space="preserve"> </w:t>
      </w:r>
      <w:r>
        <w:rPr>
          <w:rStyle w:val="VerbatimChar"/>
        </w:rPr>
        <w:t xml:space="preserve">HISAT2</w:t>
      </w:r>
      <w:r>
        <w:t xml:space="preserve"> </w:t>
      </w:r>
      <w:r>
        <w:t xml:space="preserve">(23)</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an overall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junctions and mapping reads to the THEV genome over time denotes an active infection, and correlates with our qPCR assay quantifying the total number of viral genome copies over time (</w:t>
      </w:r>
      <w:r>
        <w:rPr>
          <w:bCs/>
          <w:b/>
        </w:rPr>
        <w:t xml:space="preserve">Figure 2b</w:t>
      </w:r>
      <w:r>
        <w:t xml:space="preserve">). Using</w:t>
      </w:r>
      <w:r>
        <w:t xml:space="preserve"> </w:t>
      </w:r>
      <w:r>
        <w:rPr>
          <w:rStyle w:val="VerbatimChar"/>
        </w:rPr>
        <w:t xml:space="preserve">StringTie</w:t>
      </w:r>
      <w:r>
        <w:t xml:space="preserve"> </w:t>
      </w:r>
      <w:r>
        <w:t xml:space="preserve">(23)</w:t>
      </w:r>
      <w:r>
        <w:t xml:space="preserve">, an assembler of RNA-seq alignments into potential transcripts, the mapped reads for each time-point were assembled into transcripts using the genomic location of the predicted THEV ORFs as a guide. In the final consolidated transcriptome of THEV, a composite of all unredundant transcripts from all time points, we counted a total of</w:t>
      </w:r>
      <w:r>
        <w:t xml:space="preserve"> </w:t>
      </w:r>
      <w:r>
        <w:rPr>
          <w:bCs/>
          <w:b/>
        </w:rPr>
        <w:t xml:space="preserve">28</w:t>
      </w:r>
      <w:r>
        <w:t xml:space="preserve"> </w:t>
      </w:r>
      <w:r>
        <w:t xml:space="preserve">transcripts all of which are novel. Although some exons in some transcripts match the predicted ORFs exactly, most of our identified exons are longer, spanning multiple predicted ORFs (</w:t>
      </w:r>
      <w:r>
        <w:rPr>
          <w:bCs/>
          <w:b/>
        </w:rPr>
        <w:t xml:space="preserve">Figure 3</w:t>
      </w:r>
      <w:r>
        <w:t xml:space="preserve">).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w:t>
      </w:r>
      <w:r>
        <w:t xml:space="preserve"> </w:t>
      </w:r>
      <w:r>
        <w:rPr>
          <w:bCs/>
          <w:b/>
        </w:rPr>
        <w:t xml:space="preserve">accession no. XXXXXX</w:t>
      </w:r>
      <w:r>
        <w:t xml:space="preserve">.</w:t>
      </w:r>
    </w:p>
    <w:p>
      <w:pPr>
        <w:pStyle w:val="BodyText"/>
      </w:pPr>
      <w:r>
        <w:rPr>
          <w:bCs/>
          <w:b/>
        </w:rPr>
        <w:t xml:space="preserve">Changes in THEV splice junction profile over time</w:t>
      </w:r>
      <w:r>
        <w:br/>
      </w:r>
      <w:r>
        <w:t xml:space="preserve">AdV gene expression occurs under exquisite temporal control, supervised by designated promoters for each transcription unit (TU). Each promoter typically produce one or few pre-mRNAs that undergo alternative splicing to yield the manifold repertoire of complex transcripts characteristic of AdVs. To evaluate the activity of each promoter over time, we estimate relative abundances of all splice junctions for each time point, counting as significantly expressed only those with coverage of at least 1% of the total splice junction reads counted at each time point. Very few unique splice junctions and reads were counted at 4 h.p.i; hence, this time point was excluded in this analysis. At 12 h.p.i,</w:t>
      </w:r>
      <w:r>
        <w:t xml:space="preserve"> </w:t>
      </w:r>
      <w:r>
        <w:rPr>
          <w:bCs/>
          <w:b/>
        </w:rPr>
        <w:t xml:space="preserve">20</w:t>
      </w:r>
      <w:r>
        <w:t xml:space="preserve"> </w:t>
      </w:r>
      <w:r>
        <w:t xml:space="preserve">junctions meet the 1% threshold, and were predominantly early region (E1, E2, and E3) junctions, albeit a significant proportion are MLP-derived (</w:t>
      </w:r>
      <w:r>
        <w:rPr>
          <w:bCs/>
          <w:b/>
        </w:rPr>
        <w:t xml:space="preserve">Table 2a</w:t>
      </w:r>
      <w:r>
        <w:t xml:space="preserve">). Junctions from the E2 region were the most abundant at this time point, constituting</w:t>
      </w:r>
      <w:r>
        <w:t xml:space="preserve"> </w:t>
      </w:r>
      <w:r>
        <w:rPr>
          <w:bCs/>
          <w:b/>
        </w:rPr>
        <w:t xml:space="preserve">42.6</w:t>
      </w:r>
      <w:r>
        <w:t xml:space="preserve">% of all junctions. The two most abundant junctions at 12 h.p.i were maintained at 24 h.p.i also as the most significantly expressed. However, the MLP-derived junctions were unsurprisingly the most preponderant overall at this time point, accounting for</w:t>
      </w:r>
      <w:r>
        <w:t xml:space="preserve"> </w:t>
      </w:r>
      <w:r>
        <w:rPr>
          <w:bCs/>
          <w:b/>
        </w:rPr>
        <w:t xml:space="preserve">NA</w:t>
      </w:r>
      <w:r>
        <w:t xml:space="preserve">% of all the junction reads counted (</w:t>
      </w:r>
      <w:r>
        <w:rPr>
          <w:bCs/>
          <w:b/>
        </w:rPr>
        <w:t xml:space="preserve">Table 2b</w:t>
      </w:r>
      <w:r>
        <w:t xml:space="preserve">). At 72 h.p.i, the trend of increased activity of the MLP continued as expected; at this time, the MLP-derived junctions was not only the most abundant overall - accounting for</w:t>
      </w:r>
      <w:r>
        <w:t xml:space="preserve"> </w:t>
      </w:r>
      <w:r>
        <w:rPr>
          <w:bCs/>
          <w:b/>
        </w:rPr>
        <w:t xml:space="preserve">67.5</w:t>
      </w:r>
      <w:r>
        <w:t xml:space="preserve">% of all junctions reads - but also contained the most significantly expressed junctions (</w:t>
      </w:r>
      <w:r>
        <w:rPr>
          <w:bCs/>
          <w:b/>
        </w:rPr>
        <w:t xml:space="preserve">Table 2c</w:t>
      </w:r>
      <w:r>
        <w:t xml:space="preserve">. Also see</w:t>
      </w:r>
      <w:r>
        <w:t xml:space="preserve"> </w:t>
      </w:r>
      <w:r>
        <w:rPr>
          <w:bCs/>
          <w:b/>
        </w:rPr>
        <w:t xml:space="preserve">Supplementary Tables 1a-c</w:t>
      </w:r>
      <w:r>
        <w:t xml:space="preserve">;</w:t>
      </w:r>
      <w:r>
        <w:t xml:space="preserve"> </w:t>
      </w:r>
      <w:r>
        <w:rPr>
          <w:bCs/>
          <w:b/>
        </w:rPr>
        <w:t xml:space="preserve">Figure 4a</w:t>
      </w:r>
      <w:r>
        <w:t xml:space="preserve">). When we limited this analysis on junctions in the final transcriptome, the relative abundances of the junctions for each region over time was substantially similar to the pattern seen with all the junctions included (</w:t>
      </w:r>
      <w:r>
        <w:rPr>
          <w:bCs/>
          <w:b/>
        </w:rPr>
        <w:t xml:space="preserve">Figure 4b</w:t>
      </w:r>
      <w:r>
        <w:t xml:space="preserve">).</w:t>
      </w:r>
    </w:p>
    <w:p>
      <w:pPr>
        <w:pStyle w:val="BodyText"/>
      </w:pPr>
      <w:r>
        <w:t xml:space="preserve">Furthermore, we analyzed splice donor and acceptor site nucleotide usage over time to investigate any peculiarities that THEV may show generally or over the course of the infection.</w:t>
      </w:r>
    </w:p>
    <w:p>
      <w:pPr>
        <w:pStyle w:val="BodyText"/>
      </w:pPr>
      <w:r>
        <w:rPr>
          <w:bCs/>
          <w:b/>
        </w:rPr>
        <w:t xml:space="preserve">Early Region 1 (E1) transcripts</w:t>
      </w:r>
      <w:r>
        <w:t xml:space="preserve">. This region in MAdVs is the first transcribed after successful entry of the viral DNA into the nucleus of the host cell. The host transcription machinery is solely responsible for the transcription of this region. As no viral proteins are translated yet at this stage, the host transcription factors play the key roles of mobilizing the transcription machinery. After their translation, the E1 proteins in concert with a myriad of host transcription factors activate the other viral promoters</w:t>
      </w:r>
      <w:r>
        <w:t xml:space="preserve"> </w:t>
      </w:r>
      <w:r>
        <w:t xml:space="preserve">(6)</w:t>
      </w:r>
      <w:r>
        <w:t xml:space="preserve">. We identified four novel transcripts in this region</w:t>
      </w:r>
      <w:r>
        <w:t xml:space="preserve"> </w:t>
      </w:r>
      <w:r>
        <w:rPr>
          <w:strike/>
        </w:rPr>
        <w:t xml:space="preserve">and also validated the predicted ORF (sialidase; ORF1)</w:t>
      </w:r>
      <w:r>
        <w:t xml:space="preserve">.</w:t>
      </w:r>
    </w:p>
    <w:p>
      <w:pPr>
        <w:pStyle w:val="BodyText"/>
      </w:pPr>
      <w:r>
        <w:t xml:space="preserve">Early Region 2A (E2A) transcripts.</w:t>
      </w:r>
    </w:p>
    <w:p>
      <w:pPr>
        <w:pStyle w:val="BodyText"/>
      </w:pPr>
      <w:r>
        <w:t xml:space="preserve">Early Region 2B (E2B) transcripts.</w:t>
      </w:r>
    </w:p>
    <w:p>
      <w:pPr>
        <w:pStyle w:val="BodyText"/>
      </w:pPr>
      <w:r>
        <w:t xml:space="preserve">Early Region 3 (E3) transcripts.</w:t>
      </w:r>
    </w:p>
    <w:p>
      <w:pPr>
        <w:pStyle w:val="BodyText"/>
      </w:pPr>
      <w:r>
        <w:t xml:space="preserve">Early Region 4 (E4) transcripts.</w:t>
      </w:r>
    </w:p>
    <w:p>
      <w:pPr>
        <w:pStyle w:val="BodyText"/>
      </w:pPr>
      <w:r>
        <w:t xml:space="preserve">Intermediate Region (IM) transcripts.</w:t>
      </w:r>
    </w:p>
    <w:p>
      <w:pPr>
        <w:pStyle w:val="BodyText"/>
      </w:pPr>
      <w:r>
        <w:t xml:space="preserve">Major Late Promoter Region (MLP) transcripts.</w:t>
      </w:r>
    </w:p>
    <w:p>
      <w:r>
        <w:br w:type="page"/>
      </w:r>
    </w:p>
    <w:bookmarkEnd w:id="24"/>
    <w:bookmarkStart w:id="32" w:name="materials-and-methods"/>
    <w:p>
      <w:pPr>
        <w:pStyle w:val="Heading2"/>
      </w:pPr>
      <w:r>
        <w:t xml:space="preserve">MATERIALS AND METHODS</w:t>
      </w:r>
    </w:p>
    <w:bookmarkStart w:id="25"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number(GCN)/mL, similar to Mahshoub</w:t>
      </w:r>
      <w:r>
        <w:t xml:space="preserve"> </w:t>
      </w:r>
      <w:r>
        <w:rPr>
          <w:iCs/>
          <w:i/>
        </w:rPr>
        <w:t xml:space="preserve">et al</w:t>
      </w:r>
      <w:r>
        <w:t xml:space="preserve">(24)</w:t>
      </w:r>
      <w:r>
        <w:t xml:space="preserve"> </w:t>
      </w:r>
      <w:r>
        <w:t xml:space="preserve">with modifications. Cells were infected at a multiplicity of infection (MOI) of 100 GCN/cell and samples in triplicates were harvested at 4-, 12-, 24-, and 72-h.p.i for RNA-seq. The infection was repeated but samples in triplicates were harvested at 12-, 24-, 36-, 48-, and 72-h.p.i for PCR validation of novel splice sites.</w:t>
      </w:r>
    </w:p>
    <w:bookmarkEnd w:id="25"/>
    <w:bookmarkStart w:id="26"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as 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6"/>
    <w:bookmarkStart w:id="29" w:name="X1d70fb3ab2638f41a196ea004cc1d7506abb047"/>
    <w:p>
      <w:pPr>
        <w:pStyle w:val="Heading3"/>
      </w:pPr>
      <w:r>
        <w:t xml:space="preserve">Computational Analysis of RNA Sequencing Data: Mapping and Transcript characterization</w:t>
      </w:r>
    </w:p>
    <w:p>
      <w:pPr>
        <w:pStyle w:val="FirstParagraph"/>
      </w:pPr>
      <w:r>
        <w:t xml:space="preserve">Analysis of our sequence reads were analyzed following a well established protocol described by Pertea</w:t>
      </w:r>
      <w:r>
        <w:t xml:space="preserve"> </w:t>
      </w:r>
      <w:r>
        <w:rPr>
          <w:iCs/>
          <w:i/>
        </w:rPr>
        <w:t xml:space="preserve">et al</w:t>
      </w:r>
      <w:r>
        <w:t xml:space="preserve"> </w:t>
      </w:r>
      <w:r>
        <w:t xml:space="preserve">(23)</w:t>
      </w:r>
      <w:r>
        <w:t xml:space="preserve">, using</w:t>
      </w:r>
      <w:r>
        <w:t xml:space="preserve"> </w:t>
      </w:r>
      <w:r>
        <w:rPr>
          <w:rStyle w:val="VerbatimChar"/>
        </w:rPr>
        <w:t xml:space="preserve">SNAKEMAKE 7.24.0</w:t>
      </w:r>
      <w:r>
        <w:t xml:space="preserve"> </w:t>
      </w:r>
      <w:r>
        <w:t xml:space="preserve">to drive the pipeline. Briefly, sequencing reads were trimmed with the</w:t>
      </w:r>
      <w:r>
        <w:t xml:space="preserve"> </w:t>
      </w:r>
      <w:r>
        <w:rPr>
          <w:rStyle w:val="VerbatimChar"/>
        </w:rPr>
        <w:t xml:space="preserve">FastQC - version 0.11.9</w:t>
      </w:r>
      <w:r>
        <w:t xml:space="preserve"> </w:t>
      </w:r>
      <w:r>
        <w:t xml:space="preserve">(25)</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to the complete sequence of avirulent turkey hemorrhagic enteritis virus strain Virginia (</w:t>
      </w:r>
      <w:hyperlink r:id="rId27">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28">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(23)</w:t>
      </w:r>
      <w:r>
        <w:t xml:space="preserve"> </w:t>
      </w:r>
      <w:r>
        <w:t xml:space="preserve">with default settings without relying on known splice sites. The generated</w:t>
      </w:r>
      <w:r>
        <w:t xml:space="preserve"> </w:t>
      </w:r>
      <w:r>
        <w:rPr>
          <w:rStyle w:val="VerbatimChar"/>
        </w:rPr>
        <w:t xml:space="preserve">BAM</w:t>
      </w:r>
      <w:r>
        <w:t xml:space="preserve"> </w:t>
      </w:r>
      <w:r>
        <w:t xml:space="preserve">files from each infection time-point were filtered for reads mapping to the THEV genome and fed into</w:t>
      </w:r>
      <w:r>
        <w:t xml:space="preserve"> </w:t>
      </w:r>
      <w:r>
        <w:rPr>
          <w:rStyle w:val="VerbatimChar"/>
        </w:rPr>
        <w:t xml:space="preserve">StringTie - version 2.2.1</w:t>
      </w:r>
      <w:r>
        <w:t xml:space="preserve"> </w:t>
      </w:r>
      <w:r>
        <w:t xml:space="preserve">(23)</w:t>
      </w:r>
      <w:r>
        <w:t xml:space="preserve"> </w:t>
      </w:r>
      <w:r>
        <w:t xml:space="preserve">using a</w:t>
      </w:r>
      <w:r>
        <w:t xml:space="preserve"> </w:t>
      </w:r>
      <w:r>
        <w:rPr>
          <w:rStyle w:val="VerbatimChar"/>
        </w:rPr>
        <w:t xml:space="preserve">gff3</w:t>
      </w:r>
      <w:r>
        <w:t xml:space="preserve"> </w:t>
      </w:r>
      <w:r>
        <w:t xml:space="preserve">file from NCBI containing the predicted ORFs of THEV as a guide. A custom script was used to consolidate all transcripts from all time-points without redundancy, generating the final transcriptome of THEV.</w:t>
      </w:r>
    </w:p>
    <w:bookmarkEnd w:id="29"/>
    <w:bookmarkStart w:id="30"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and DBP, which were corroborated in our work. However, these predicted splice junctions have not been experimentally validated hitherto, and we identified additional novel splice junctions beside the predicted junctions, giving a more complete picture of the transcripts.</w:t>
      </w:r>
    </w:p>
    <w:p>
      <w:pPr>
        <w:pStyle w:val="BodyText"/>
      </w:pPr>
      <w:r>
        <w:t xml:space="preserve">The novel splice junctions after consolidating all transcripts with</w:t>
      </w:r>
      <w:r>
        <w:t xml:space="preserve"> </w:t>
      </w:r>
      <w:r>
        <w:rPr>
          <w:rStyle w:val="VerbatimChar"/>
        </w:rPr>
        <w:t xml:space="preserve">StringTie</w:t>
      </w:r>
      <w:r>
        <w:t xml:space="preserve"> </w:t>
      </w:r>
      <w:r>
        <w:t xml:space="preserve">which we validated by PCR and Sanger Sequencing are shown in</w:t>
      </w:r>
      <w:r>
        <w:t xml:space="preserve"> </w:t>
      </w:r>
      <w:r>
        <w:rPr>
          <w:strike/>
        </w:rPr>
        <w:t xml:space="preserve">Table###1</w:t>
      </w:r>
      <w:r>
        <w:t xml:space="preserve">. We designed primers that crossed a range of novel exon–exon boundaries for each specific transcript in a transcription unit with their respective universal primers (</w:t>
      </w:r>
      <w:r>
        <w:rPr>
          <w:strike/>
        </w:rPr>
        <w:t xml:space="preserve">supplementary, PCR methods</w:t>
      </w:r>
      <w:r>
        <w:t xml:space="preserve">). Each forward primer contained a KpnI restriction site and reverse primers, an XbaI site. After first-strand cDNA synthesis with SuperScript™ III First-Strand Synthesis System (ThermoFisher SCIENTIFIC), these primers were used in a targeted PCR experiment, the PCR products were analysed on Agarose gels, cloned by traditional restriction enzyme method and Sanger sequenced to validate these splice junctions at the sequence level.</w:t>
      </w:r>
    </w:p>
    <w:bookmarkEnd w:id="30"/>
    <w:bookmarkStart w:id="31" w:name="rapid-amplification-of-cdna-ends-3race"/>
    <w:p>
      <w:pPr>
        <w:pStyle w:val="Heading3"/>
      </w:pPr>
      <w:r>
        <w:t xml:space="preserve">3’ Rapid Amplification of cDNA Ends (3’RACE)</w:t>
      </w:r>
    </w:p>
    <w:p>
      <w:r>
        <w:br w:type="page"/>
      </w:r>
    </w:p>
    <w:bookmarkEnd w:id="31"/>
    <w:bookmarkEnd w:id="32"/>
    <w:bookmarkStart w:id="33" w:name="discussionconclusions"/>
    <w:p>
      <w:pPr>
        <w:pStyle w:val="Heading2"/>
      </w:pPr>
      <w:r>
        <w:t xml:space="preserve">DISCUSSION/CONCLUSIONS</w:t>
      </w:r>
    </w:p>
    <w:p>
      <w:r>
        <w:br w:type="page"/>
      </w:r>
    </w:p>
    <w:bookmarkEnd w:id="33"/>
    <w:bookmarkStart w:id="36" w:name="scripts-and-supplementary-materials"/>
    <w:p>
      <w:pPr>
        <w:pStyle w:val="Heading2"/>
      </w:pPr>
      <w:r>
        <w:t xml:space="preserve">SCRIPTS AND SUPPLEMENTARY MATERIALS</w:t>
      </w:r>
    </w:p>
    <w:bookmarkStart w:id="34" w:name="data-availability"/>
    <w:p>
      <w:pPr>
        <w:pStyle w:val="Heading3"/>
      </w:pPr>
      <w:r>
        <w:t xml:space="preserve">DATA AVAILABILITY</w:t>
      </w:r>
    </w:p>
    <w:bookmarkEnd w:id="34"/>
    <w:bookmarkStart w:id="35" w:name="code-availability"/>
    <w:p>
      <w:pPr>
        <w:pStyle w:val="Heading3"/>
      </w:pPr>
      <w:r>
        <w:t xml:space="preserve">CODE AVAILABILITY</w:t>
      </w:r>
    </w:p>
    <w:p>
      <w:pPr>
        <w:pStyle w:val="FirstParagraph"/>
      </w:pPr>
      <w:r>
        <w:t xml:space="preserve">All the code/scripts written for analysis of the data is available on github (linkXXXXXX)</w:t>
      </w:r>
      <w:r>
        <w:t xml:space="preserve"> </w:t>
      </w:r>
    </w:p>
    <w:bookmarkEnd w:id="35"/>
    <w:bookmarkEnd w:id="36"/>
    <w:bookmarkStart w:id="37" w:name="acknowledgments"/>
    <w:p>
      <w:pPr>
        <w:pStyle w:val="Heading2"/>
      </w:pPr>
      <w:r>
        <w:t xml:space="preserve">ACKNOWLEDGMENTS</w:t>
      </w:r>
    </w:p>
    <w:p>
      <w:pPr>
        <w:pStyle w:val="FirstParagraph"/>
      </w:pPr>
      <w:r>
        <w:t xml:space="preserve">LC Sciences</w:t>
      </w:r>
      <w:r>
        <w:t xml:space="preserve"> </w:t>
      </w:r>
      <w:r>
        <w:rPr>
          <w:rStyle w:val="VerbatimChar"/>
        </w:rPr>
        <w:t xml:space="preserve">Eton Bioscience, Inc, San Diego, CA</w:t>
      </w:r>
      <w:r>
        <w:t xml:space="preserve"> </w:t>
      </w:r>
    </w:p>
    <w:bookmarkEnd w:id="37"/>
    <w:bookmarkStart w:id="86" w:name="references"/>
    <w:p>
      <w:pPr>
        <w:pStyle w:val="Heading2"/>
      </w:pPr>
      <w:r>
        <w:t xml:space="preserve">REFERENCES</w:t>
      </w:r>
    </w:p>
    <w:p>
      <w:pPr>
        <w:pStyle w:val="FirstParagraph"/>
      </w:pPr>
    </w:p>
    <w:bookmarkStart w:id="85"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Guimet2016"/>
    <w:p>
      <w:pPr>
        <w:pStyle w:val="Bibliography"/>
      </w:pPr>
      <w:r>
        <w:t xml:space="preserve">6.</w:t>
      </w:r>
      <w:r>
        <w:t xml:space="preserve"> </w:t>
      </w:r>
      <w:r>
        <w:t xml:space="preserve">	</w:t>
      </w:r>
      <w:r>
        <w:t xml:space="preserve">Guimet D, Hearing P. 2016.</w:t>
      </w:r>
      <w:r>
        <w:t xml:space="preserve"> </w:t>
      </w:r>
      <w:hyperlink r:id="rId47">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8"/>
    <w:bookmarkStart w:id="50" w:name="ref-Kovács2011"/>
    <w:p>
      <w:pPr>
        <w:pStyle w:val="Bibliography"/>
      </w:pPr>
      <w:r>
        <w:t xml:space="preserve">7.</w:t>
      </w:r>
      <w:r>
        <w:t xml:space="preserve"> </w:t>
      </w:r>
      <w:r>
        <w:t xml:space="preserve">	</w:t>
      </w:r>
      <w:r>
        <w:t xml:space="preserve">Kovács ER, Benkő M. 2011.</w:t>
      </w:r>
      <w:r>
        <w:t xml:space="preserve"> </w:t>
      </w:r>
      <w:hyperlink r:id="rId49">
        <w:r>
          <w:rPr>
            <w:rStyle w:val="Hyperlink"/>
          </w:rPr>
          <w:t xml:space="preserve">Complete sequence of raptor adenovirus 1 confirms the characteristic genome organization of siadenoviruses</w:t>
        </w:r>
      </w:hyperlink>
      <w:r>
        <w:t xml:space="preserve">. Infection, Genetics and Evolution 11:1058–1065.</w:t>
      </w:r>
    </w:p>
    <w:bookmarkEnd w:id="50"/>
    <w:bookmarkStart w:id="52" w:name="ref-Davison2000"/>
    <w:p>
      <w:pPr>
        <w:pStyle w:val="Bibliography"/>
      </w:pPr>
      <w:r>
        <w:t xml:space="preserve">8.</w:t>
      </w:r>
      <w:r>
        <w:t xml:space="preserve"> </w:t>
      </w:r>
      <w:r>
        <w:t xml:space="preserve">	</w:t>
      </w:r>
      <w:r>
        <w:t xml:space="preserve">Davison AJ, Wright KM, Harrach B. 2000.</w:t>
      </w:r>
      <w:r>
        <w:t xml:space="preserve"> </w:t>
      </w:r>
      <w:hyperlink r:id="rId51">
        <w:r>
          <w:rPr>
            <w:rStyle w:val="Hyperlink"/>
          </w:rPr>
          <w:t xml:space="preserve">DNA sequence of frog adenovirus</w:t>
        </w:r>
      </w:hyperlink>
      <w:r>
        <w:t xml:space="preserve">. J Gen Virol 81:2431–2439.</w:t>
      </w:r>
    </w:p>
    <w:bookmarkEnd w:id="52"/>
    <w:bookmarkStart w:id="54" w:name="ref-Kovács2010"/>
    <w:p>
      <w:pPr>
        <w:pStyle w:val="Bibliography"/>
      </w:pPr>
      <w:r>
        <w:t xml:space="preserve">9.</w:t>
      </w:r>
      <w:r>
        <w:t xml:space="preserve"> </w:t>
      </w:r>
      <w:r>
        <w:t xml:space="preserve">	</w:t>
      </w:r>
      <w:r>
        <w:t xml:space="preserve">Kovács ER, Jánoska M, Dán Á, Harrach B, Benkő M. 2010.</w:t>
      </w:r>
      <w:r>
        <w:t xml:space="preserve"> </w:t>
      </w:r>
      <w:hyperlink r:id="rId53">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4"/>
    <w:bookmarkStart w:id="56" w:name="ref-Katoh2009"/>
    <w:p>
      <w:pPr>
        <w:pStyle w:val="Bibliography"/>
      </w:pPr>
      <w:r>
        <w:t xml:space="preserve">10.</w:t>
      </w:r>
      <w:r>
        <w:t xml:space="preserve"> </w:t>
      </w:r>
      <w:r>
        <w:t xml:space="preserve">	</w:t>
      </w:r>
      <w:r>
        <w:t xml:space="preserve">Katoh H, Ohya K, Kubo M, Murata K, Yanai T, Fukushi H. 2009.</w:t>
      </w:r>
      <w:r>
        <w:t xml:space="preserve"> </w:t>
      </w:r>
      <w:hyperlink r:id="rId55">
        <w:r>
          <w:rPr>
            <w:rStyle w:val="Hyperlink"/>
          </w:rPr>
          <w:t xml:space="preserve">A novel budgerigar-adenovirus belonging to group II avian adenovirus of siadenovirus</w:t>
        </w:r>
      </w:hyperlink>
      <w:r>
        <w:t xml:space="preserve">. Virus Research 144:294–297.</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Djebali2012"/>
    <w:p>
      <w:pPr>
        <w:pStyle w:val="Bibliography"/>
      </w:pPr>
      <w:r>
        <w:t xml:space="preserve">21.</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5">
        <w:r>
          <w:rPr>
            <w:rStyle w:val="Hyperlink"/>
          </w:rPr>
          <w:t xml:space="preserve">Landscape of transcription in human cells</w:t>
        </w:r>
      </w:hyperlink>
      <w:r>
        <w:t xml:space="preserve">. Nature 489:101–108.</w:t>
      </w:r>
    </w:p>
    <w:bookmarkEnd w:id="76"/>
    <w:bookmarkStart w:id="78" w:name="ref-Aboezz2019"/>
    <w:p>
      <w:pPr>
        <w:pStyle w:val="Bibliography"/>
      </w:pPr>
      <w:r>
        <w:t xml:space="preserve">22.</w:t>
      </w:r>
      <w:r>
        <w:t xml:space="preserve"> </w:t>
      </w:r>
      <w:r>
        <w:t xml:space="preserve">	</w:t>
      </w:r>
      <w:r>
        <w:t xml:space="preserve">Aboezz Z, Mahsoub H, El-Bagoury G, Pierson F. 2019.</w:t>
      </w:r>
      <w:r>
        <w:t xml:space="preserve"> </w:t>
      </w:r>
      <w:hyperlink r:id="rId77">
        <w:r>
          <w:rPr>
            <w:rStyle w:val="Hyperlink"/>
          </w:rPr>
          <w:t xml:space="preserve">In vitro growth kinetics and gene expression analysis of the turkey adenovirus 3, a siadenovirus</w:t>
        </w:r>
      </w:hyperlink>
      <w:r>
        <w:t xml:space="preserve">. Virus Research 263:47–54.</w:t>
      </w:r>
    </w:p>
    <w:bookmarkEnd w:id="78"/>
    <w:bookmarkStart w:id="80" w:name="ref-Pertea2016"/>
    <w:p>
      <w:pPr>
        <w:pStyle w:val="Bibliography"/>
      </w:pPr>
      <w:r>
        <w:t xml:space="preserve">23.</w:t>
      </w:r>
      <w:r>
        <w:t xml:space="preserve"> </w:t>
      </w:r>
      <w:r>
        <w:t xml:space="preserve">	</w:t>
      </w:r>
      <w:r>
        <w:t xml:space="preserve">Pertea M, Kim D, Pertea GM, Leek JT, Salzberg SL. 2016.</w:t>
      </w:r>
      <w:r>
        <w:t xml:space="preserve"> </w:t>
      </w:r>
      <w:hyperlink r:id="rId79">
        <w:r>
          <w:rPr>
            <w:rStyle w:val="Hyperlink"/>
          </w:rPr>
          <w:t xml:space="preserve">Transcript-level expression analysis of RNA-seq experiments with HISAT, StringTie and ballgown</w:t>
        </w:r>
      </w:hyperlink>
      <w:r>
        <w:t xml:space="preserve">. Nature Protocols 11:1650–1667.</w:t>
      </w:r>
    </w:p>
    <w:bookmarkEnd w:id="80"/>
    <w:bookmarkStart w:id="82" w:name="ref-Mahsoub2017"/>
    <w:p>
      <w:pPr>
        <w:pStyle w:val="Bibliography"/>
      </w:pPr>
      <w:r>
        <w:t xml:space="preserve">24.</w:t>
      </w:r>
      <w:r>
        <w:t xml:space="preserve"> </w:t>
      </w:r>
      <w:r>
        <w:t xml:space="preserve">	</w:t>
      </w:r>
      <w:r>
        <w:t xml:space="preserve">Mahsoub HM, Evans NP, Beach NM, Yuan L, Zimmerman K, Pierson FW. 2017.</w:t>
      </w:r>
      <w:r>
        <w:t xml:space="preserve"> </w:t>
      </w:r>
      <w:hyperlink r:id="rId81">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82"/>
    <w:bookmarkStart w:id="84" w:name="ref-FastQC"/>
    <w:p>
      <w:pPr>
        <w:pStyle w:val="Bibliography"/>
      </w:pPr>
      <w:r>
        <w:t xml:space="preserve">25.</w:t>
      </w:r>
      <w:r>
        <w:t xml:space="preserve"> </w:t>
      </w:r>
      <w:r>
        <w:t xml:space="preserve">	</w:t>
      </w:r>
      <w:r>
        <w:t xml:space="preserve">2015.</w:t>
      </w:r>
      <w:r>
        <w:t xml:space="preserve"> </w:t>
      </w:r>
      <w:hyperlink r:id="rId83">
        <w:r>
          <w:rPr>
            <w:rStyle w:val="Hyperlink"/>
          </w:rPr>
          <w:t xml:space="preserve">FastQC</w:t>
        </w:r>
      </w:hyperlink>
      <w:r>
        <w:t xml:space="preserve">.</w:t>
      </w:r>
    </w:p>
    <w:bookmarkEnd w:id="84"/>
    <w:bookmarkEnd w:id="85"/>
    <w:bookmarkEnd w:id="86"/>
    <w:bookmarkStart w:id="105" w:name="tables-and-figures"/>
    <w:p>
      <w:pPr>
        <w:pStyle w:val="Heading2"/>
      </w:pPr>
      <w:r>
        <w:t xml:space="preserve">TABLES AND FIGURES</w:t>
      </w:r>
    </w:p>
    <w:p>
      <w:pPr>
        <w:pStyle w:val="FirstParagraph"/>
      </w:pPr>
      <w:r>
        <w:drawing>
          <wp:inline>
            <wp:extent cx="5334000" cy="3111499"/>
            <wp:effectExtent b="0" l="0" r="0" t="0"/>
            <wp:docPr descr="" title="" id="88" name="Picture"/>
            <a:graphic>
              <a:graphicData uri="http://schemas.openxmlformats.org/drawingml/2006/picture">
                <pic:pic>
                  <pic:nvPicPr>
                    <pic:cNvPr descr="results/r/figures/thev_orf_map.png" id="89" name="Picture"/>
                    <pic:cNvPicPr>
                      <a:picLocks noChangeArrowheads="1" noChangeAspect="1"/>
                    </pic:cNvPicPr>
                  </pic:nvPicPr>
                  <pic:blipFill>
                    <a:blip r:embed="rId87"/>
                    <a:stretch>
                      <a:fillRect/>
                    </a:stretch>
                  </pic:blipFill>
                  <pic:spPr bwMode="auto">
                    <a:xfrm>
                      <a:off x="0" y="0"/>
                      <a:ext cx="5334000" cy="3111499"/>
                    </a:xfrm>
                    <a:prstGeom prst="rect">
                      <a:avLst/>
                    </a:prstGeom>
                    <a:noFill/>
                    <a:ln w="9525">
                      <a:noFill/>
                      <a:headEnd/>
                      <a:tailEnd/>
                    </a:ln>
                  </pic:spPr>
                </pic:pic>
              </a:graphicData>
            </a:graphic>
          </wp:inline>
        </w:drawing>
      </w:r>
      <w:r>
        <w:t xml:space="preserve"> </w:t>
      </w:r>
      <w:r>
        <w:rPr>
          <w:bCs/>
          <w:b/>
        </w:rPr>
        <w:t xml:space="preserve">Figure 1.</w:t>
      </w:r>
      <w:r>
        <w:rPr>
          <w:bCs/>
          <w:b/>
        </w:rPr>
        <w:t xml:space="preserve"> </w:t>
      </w:r>
      <w:r>
        <w:rPr>
          <w:iCs/>
          <w:i/>
          <w:bCs/>
          <w:b/>
        </w:rPr>
        <w:t xml:space="preserve">Genomic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334000" cy="3556000"/>
            <wp:effectExtent b="0" l="0" r="0" t="0"/>
            <wp:docPr descr="" title="" id="91" name="Picture"/>
            <a:graphic>
              <a:graphicData uri="http://schemas.openxmlformats.org/drawingml/2006/picture">
                <pic:pic>
                  <pic:nvPicPr>
                    <pic:cNvPr descr="results/r/figures/overlay_alltimes.png" id="92"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3048000"/>
            <wp:effectExtent b="0" l="0" r="0" t="0"/>
            <wp:docPr descr="" title="" id="94" name="Picture"/>
            <a:graphic>
              <a:graphicData uri="http://schemas.openxmlformats.org/drawingml/2006/picture">
                <pic:pic>
                  <pic:nvPicPr>
                    <pic:cNvPr descr="results/r/figures/thev_growth_curve.png" id="95" name="Picture"/>
                    <pic:cNvPicPr>
                      <a:picLocks noChangeArrowheads="1" noChangeAspect="1"/>
                    </pic:cNvPicPr>
                  </pic:nvPicPr>
                  <pic:blipFill>
                    <a:blip r:embed="rId93"/>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rPr>
          <w:bCs/>
          <w:b/>
        </w:rPr>
        <w:t xml:space="preserve">Figure 2.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 show remarkable difference in terms of quantities. There is a dramatic increase of mean coverage/depth from</w:t>
      </w:r>
      <w:r>
        <w:t xml:space="preserve"> </w:t>
      </w:r>
      <w:r>
        <w:rPr>
          <w:bCs/>
          <w:b/>
        </w:rPr>
        <w:t xml:space="preserve">2.42</w:t>
      </w:r>
      <w:r>
        <w:t xml:space="preserve"> </w:t>
      </w:r>
      <w:r>
        <w:t xml:space="preserve">at 4 h.p.i to</w:t>
      </w:r>
      <w:r>
        <w:t xml:space="preserve"> </w:t>
      </w:r>
      <w:r>
        <w:rPr>
          <w:bCs/>
          <w:b/>
        </w:rPr>
        <w:t xml:space="preserve">95,042</w:t>
      </w:r>
      <w:r>
        <w:t xml:space="preserve"> </w:t>
      </w:r>
      <w:r>
        <w:t xml:space="preserve">at 72 h.p.i, strongly demonstrating an active infection. Unexpectedly, the pileup of reads seems consistently skewed over similar regions of the genome. We could speculate that the temporal gene expression regulation of THEV is different from MAdVs or this could simply mean that the infection was not well synchronized. However, the relative proportions over these similar regions shows some variation over time.</w:t>
      </w:r>
      <w:r>
        <w:t xml:space="preserve"> </w:t>
      </w:r>
      <w:r>
        <w:rPr>
          <w:bCs/>
          <w:b/>
        </w:rPr>
        <w:t xml:space="preserve">b)</w:t>
      </w:r>
      <w:r>
        <w:rPr>
          <w:bCs/>
          <w:b/>
        </w:rPr>
        <w:t xml:space="preserve"> </w:t>
      </w:r>
      <w:r>
        <w:rPr>
          <w:iCs/>
          <w:i/>
          <w:bCs/>
          <w:b/>
        </w:rPr>
        <w:t xml:space="preserve">One-step growth of THEV (VAS vaccine strain) in MDTC-RP19 cell line</w:t>
      </w:r>
      <w:r>
        <w:t xml:space="preserve">. After infecting cells at an MOI of 100 GCN/cell, triplicates of harvested infected cells were quantified with an in-house qPCR assay measuring the total copies of THEV genome. There is no discernible increase in virus titer up 12 h.p.i, after which there is a steady increase in virus titer is measured. The virus titer expands exponentially beginning from 48 h.p.i, increasing by orders of magnitude before reaching a plateau at 120 h.p.i, probably due to high cell death. GCN: genome copy number.</w:t>
      </w:r>
    </w:p>
    <w:p>
      <w:pPr>
        <w:pStyle w:val="BodyText"/>
      </w:pPr>
      <w:r>
        <w:drawing>
          <wp:inline>
            <wp:extent cx="5334000" cy="3556000"/>
            <wp:effectExtent b="0" l="0" r="0" t="0"/>
            <wp:docPr descr="" title="" id="97" name="Picture"/>
            <a:graphic>
              <a:graphicData uri="http://schemas.openxmlformats.org/drawingml/2006/picture">
                <pic:pic>
                  <pic:nvPicPr>
                    <pic:cNvPr descr="results/r/figures/thev_spliced_map.png" id="98" name="Picture"/>
                    <pic:cNvPicPr>
                      <a:picLocks noChangeArrowheads="1" noChangeAspect="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drawing>
          <wp:inline>
            <wp:extent cx="5334000" cy="4667250"/>
            <wp:effectExtent b="0" l="0" r="0" t="0"/>
            <wp:docPr descr="" title="" id="100" name="Picture"/>
            <a:graphic>
              <a:graphicData uri="http://schemas.openxmlformats.org/drawingml/2006/picture">
                <pic:pic>
                  <pic:nvPicPr>
                    <pic:cNvPr descr="results/r/figures/thev_patched_timepoints_spliced_map.png" id="101" name="Picture"/>
                    <pic:cNvPicPr>
                      <a:picLocks noChangeArrowheads="1" noChangeAspect="1"/>
                    </pic:cNvPicPr>
                  </pic:nvPicPr>
                  <pic:blipFill>
                    <a:blip r:embed="rId99"/>
                    <a:stretch>
                      <a:fillRect/>
                    </a:stretch>
                  </pic:blipFill>
                  <pic:spPr bwMode="auto">
                    <a:xfrm>
                      <a:off x="0" y="0"/>
                      <a:ext cx="5334000" cy="4667250"/>
                    </a:xfrm>
                    <a:prstGeom prst="rect">
                      <a:avLst/>
                    </a:prstGeom>
                    <a:noFill/>
                    <a:ln w="9525">
                      <a:noFill/>
                      <a:headEnd/>
                      <a:tailEnd/>
                    </a:ln>
                  </pic:spPr>
                </pic:pic>
              </a:graphicData>
            </a:graphic>
          </wp:inline>
        </w:drawing>
      </w:r>
      <w:r>
        <w:t xml:space="preserve"> </w:t>
      </w:r>
      <w:r>
        <w:rPr>
          <w:bCs/>
          <w:b/>
        </w:rPr>
        <w:t xml:space="preserve">Figure 3. a)</w:t>
      </w:r>
      <w:r>
        <w:rPr>
          <w:bCs/>
          <w:b/>
        </w:rPr>
        <w:t xml:space="preserve"> </w:t>
      </w:r>
      <w:r>
        <w:rPr>
          <w:bCs/>
          <w:b/>
          <w:bCs/>
          <w:b/>
        </w:rPr>
        <w:t xml:space="preserve">Full transcriptome of THEV</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MLP - blue. Predicted ORFs are also indicated here, colored light grey.</w:t>
      </w:r>
      <w:r>
        <w:t xml:space="preserve"> </w:t>
      </w:r>
      <w:r>
        <w:rPr>
          <w:bCs/>
          <w:b/>
        </w:rPr>
        <w:t xml:space="preserve">b)</w:t>
      </w:r>
      <w:r>
        <w:rPr>
          <w:bCs/>
          <w:b/>
        </w:rPr>
        <w:t xml:space="preserve"> </w:t>
      </w:r>
      <w:r>
        <w:rPr>
          <w:bCs/>
          <w:b/>
          <w:bCs/>
          <w:b/>
        </w:rPr>
        <w:t xml:space="preserve">THEV transcripts identified at given time points</w:t>
      </w:r>
      <w:r>
        <w:t xml:space="preserve">. Transcripts are color coded as explained in</w:t>
      </w:r>
      <w:r>
        <w:t xml:space="preserve"> </w:t>
      </w:r>
      <w:r>
        <w:rPr>
          <w:bCs/>
          <w:b/>
        </w:rPr>
        <w:t xml:space="preserve">a</w:t>
      </w:r>
      <w:r>
        <w:t xml:space="preserve">.</w:t>
      </w:r>
    </w:p>
    <w:p>
      <w:pPr>
        <w:pStyle w:val="BodyText"/>
      </w:pPr>
      <w:r>
        <w:rPr>
          <w:bCs/>
          <w:b/>
        </w:rPr>
        <w:t xml:space="preserve">Table 2A</w:t>
      </w:r>
    </w:p>
    <w:p>
      <w:pPr>
        <w:pStyle w:val="BodyText"/>
      </w:pPr>
      <w:r>
        <w:rPr>
          <w:bCs/>
          <w:b/>
        </w:rPr>
        <w:t xml:space="preserve">Table 2B</w:t>
      </w:r>
    </w:p>
    <w:p>
      <w:pPr>
        <w:pStyle w:val="BodyText"/>
      </w:pPr>
      <w:r>
        <w:rPr>
          <w:bCs/>
          <w:b/>
        </w:rPr>
        <w:t xml:space="preserve">Table 2C</w:t>
      </w:r>
    </w:p>
    <w:p>
      <w:pPr>
        <w:pStyle w:val="BodyText"/>
      </w:pPr>
      <w:r>
        <w:drawing>
          <wp:inline>
            <wp:extent cx="5334000" cy="3200400"/>
            <wp:effectExtent b="0" l="0" r="0" t="0"/>
            <wp:docPr descr="" title="" id="103" name="Picture"/>
            <a:graphic>
              <a:graphicData uri="http://schemas.openxmlformats.org/drawingml/2006/picture">
                <pic:pic>
                  <pic:nvPicPr>
                    <pic:cNvPr descr="results/r/figures/junc_abundances.png" id="104" name="Picture"/>
                    <pic:cNvPicPr>
                      <a:picLocks noChangeArrowheads="1" noChangeAspect="1"/>
                    </pic:cNvPicPr>
                  </pic:nvPicPr>
                  <pic:blipFill>
                    <a:blip r:embed="rId102"/>
                    <a:stretch>
                      <a:fillRect/>
                    </a:stretch>
                  </pic:blipFill>
                  <pic:spPr bwMode="auto">
                    <a:xfrm>
                      <a:off x="0" y="0"/>
                      <a:ext cx="5334000" cy="3200400"/>
                    </a:xfrm>
                    <a:prstGeom prst="rect">
                      <a:avLst/>
                    </a:prstGeom>
                    <a:noFill/>
                    <a:ln w="9525">
                      <a:noFill/>
                      <a:headEnd/>
                      <a:tailEnd/>
                    </a:ln>
                  </pic:spPr>
                </pic:pic>
              </a:graphicData>
            </a:graphic>
          </wp:inline>
        </w:drawing>
      </w:r>
      <w:r>
        <w:t xml:space="preserve"> </w:t>
      </w:r>
      <w:r>
        <w:rPr>
          <w:bCs/>
          <w:b/>
        </w:rPr>
        <w:t xml:space="preserve">Figure 4. a) Relative abundances of splice junctions over time as a proxy of estimating activity levels of THEV promoters</w:t>
      </w:r>
      <w:r>
        <w:t xml:space="preserve">. ## Description here ##########.</w:t>
      </w:r>
      <w:r>
        <w:t xml:space="preserve"> </w:t>
      </w:r>
      <w:r>
        <w:rPr>
          <w:bCs/>
          <w:b/>
        </w:rPr>
        <w:t xml:space="preserve">b) Relative abundances of junctions in final transcriptome</w:t>
      </w:r>
      <w:r>
        <w:t xml:space="preserve">. ##Description here #######.</w:t>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87" Target="media/rId87.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hyperlink" Id="rId57"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47" Target="https://doi.org/10.1016/B978-0-12-800276-6.00003-6" TargetMode="External" /><Relationship Type="http://schemas.openxmlformats.org/officeDocument/2006/relationships/hyperlink" Id="rId44" Target="https://doi.org/10.1016/B978-012220360-2/50018-0" TargetMode="External" /><Relationship Type="http://schemas.openxmlformats.org/officeDocument/2006/relationships/hyperlink" Id="rId40" Target="https://doi.org/10.1016/B978-012374410-4.00680-4" TargetMode="External" /><Relationship Type="http://schemas.openxmlformats.org/officeDocument/2006/relationships/hyperlink" Id="rId53" Target="https://doi.org/10.1016/j.jviromet.2009.10.007" TargetMode="External" /><Relationship Type="http://schemas.openxmlformats.org/officeDocument/2006/relationships/hyperlink" Id="rId81" Target="https://doi.org/10.1016/j.jviromet.2016.11.002" TargetMode="External" /><Relationship Type="http://schemas.openxmlformats.org/officeDocument/2006/relationships/hyperlink" Id="rId49" Target="https://doi.org/10.1016/j.meegid.2011.03.021" TargetMode="External" /><Relationship Type="http://schemas.openxmlformats.org/officeDocument/2006/relationships/hyperlink" Id="rId69" Target="https://doi.org/10.1016/j.virol.2014.04.006" TargetMode="External" /><Relationship Type="http://schemas.openxmlformats.org/officeDocument/2006/relationships/hyperlink" Id="rId55" Target="https://doi.org/10.1016/j.virusres.2009.04.012" TargetMode="External" /><Relationship Type="http://schemas.openxmlformats.org/officeDocument/2006/relationships/hyperlink" Id="rId62" Target="https://doi.org/10.1016/s0145-305x(99)00075-0" TargetMode="External" /><Relationship Type="http://schemas.openxmlformats.org/officeDocument/2006/relationships/hyperlink" Id="rId75" Target="https://doi.org/10.1038/nature11233" TargetMode="External" /><Relationship Type="http://schemas.openxmlformats.org/officeDocument/2006/relationships/hyperlink" Id="rId79" Target="https://doi.org/10.1038/nprot.2016.095" TargetMode="External" /><Relationship Type="http://schemas.openxmlformats.org/officeDocument/2006/relationships/hyperlink" Id="rId67" Target="https://doi.org/10.1038/s42003-020-0849-9" TargetMode="External" /><Relationship Type="http://schemas.openxmlformats.org/officeDocument/2006/relationships/hyperlink" Id="rId65" Target="https://doi.org/10.1080/01652176.2016.1277281" TargetMode="External" /><Relationship Type="http://schemas.openxmlformats.org/officeDocument/2006/relationships/hyperlink" Id="rId51" Target="https://doi.org/10.1099/0022-1317-81-10-2431" TargetMode="External" /><Relationship Type="http://schemas.openxmlformats.org/officeDocument/2006/relationships/hyperlink" Id="rId59" Target="https://doi.org/10.1099/vir.0.010090-0" TargetMode="External" /><Relationship Type="http://schemas.openxmlformats.org/officeDocument/2006/relationships/hyperlink" Id="rId38" Target="https://doi.org/10.1099/vir.0.19497-0" TargetMode="External" /><Relationship Type="http://schemas.openxmlformats.org/officeDocument/2006/relationships/hyperlink" Id="rId71" Target="https://doi.org/10.1111/cmi.12053" TargetMode="External" /><Relationship Type="http://schemas.openxmlformats.org/officeDocument/2006/relationships/hyperlink" Id="rId73" Target="https://doi.org/10.1128/jvi.45.1.185-191.1983" TargetMode="External" /><Relationship Type="http://schemas.openxmlformats.org/officeDocument/2006/relationships/hyperlink" Id="rId42" Target="https://doi.org/10.1128/jvi.77.13.7590-7600.2003" TargetMode="External" /><Relationship Type="http://schemas.openxmlformats.org/officeDocument/2006/relationships/hyperlink" Id="rId83" Target="https://qubeshub.org/resources/fastqc" TargetMode="External" /><Relationship Type="http://schemas.openxmlformats.org/officeDocument/2006/relationships/hyperlink" Id="rId28" Target="https://www.ncbi.nlm.nih.gov/genome/?term=Meleagris+gallopavo" TargetMode="External" /><Relationship Type="http://schemas.openxmlformats.org/officeDocument/2006/relationships/hyperlink" Id="rId27" Target="https://www.ncbi.nlm.nih.gov/nuccore/AY849321.1/" TargetMode="External" /><Relationship Type="http://schemas.openxmlformats.org/officeDocument/2006/relationships/hyperlink" Id="rId77" Target="https://www.sciencedirect.com/science/article/abs/pii/S016817021830529X?via%3Dihub" TargetMode="External" /><Relationship Type="http://schemas.openxmlformats.org/officeDocument/2006/relationships/hyperlink" Id="rId20" Target="mailto:brian_poole@byu.edu" TargetMode="External" /></Relationships>
</file>

<file path=word/_rels/footnotes.xml.rels><?xml version="1.0" encoding="UTF-8"?><Relationships xmlns="http://schemas.openxmlformats.org/package/2006/relationships"><Relationship Type="http://schemas.openxmlformats.org/officeDocument/2006/relationships/hyperlink" Id="rId57"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47" Target="https://doi.org/10.1016/B978-0-12-800276-6.00003-6" TargetMode="External" /><Relationship Type="http://schemas.openxmlformats.org/officeDocument/2006/relationships/hyperlink" Id="rId44" Target="https://doi.org/10.1016/B978-012220360-2/50018-0" TargetMode="External" /><Relationship Type="http://schemas.openxmlformats.org/officeDocument/2006/relationships/hyperlink" Id="rId40" Target="https://doi.org/10.1016/B978-012374410-4.00680-4" TargetMode="External" /><Relationship Type="http://schemas.openxmlformats.org/officeDocument/2006/relationships/hyperlink" Id="rId53" Target="https://doi.org/10.1016/j.jviromet.2009.10.007" TargetMode="External" /><Relationship Type="http://schemas.openxmlformats.org/officeDocument/2006/relationships/hyperlink" Id="rId81" Target="https://doi.org/10.1016/j.jviromet.2016.11.002" TargetMode="External" /><Relationship Type="http://schemas.openxmlformats.org/officeDocument/2006/relationships/hyperlink" Id="rId49" Target="https://doi.org/10.1016/j.meegid.2011.03.021" TargetMode="External" /><Relationship Type="http://schemas.openxmlformats.org/officeDocument/2006/relationships/hyperlink" Id="rId69" Target="https://doi.org/10.1016/j.virol.2014.04.006" TargetMode="External" /><Relationship Type="http://schemas.openxmlformats.org/officeDocument/2006/relationships/hyperlink" Id="rId55" Target="https://doi.org/10.1016/j.virusres.2009.04.012" TargetMode="External" /><Relationship Type="http://schemas.openxmlformats.org/officeDocument/2006/relationships/hyperlink" Id="rId62" Target="https://doi.org/10.1016/s0145-305x(99)00075-0" TargetMode="External" /><Relationship Type="http://schemas.openxmlformats.org/officeDocument/2006/relationships/hyperlink" Id="rId75" Target="https://doi.org/10.1038/nature11233" TargetMode="External" /><Relationship Type="http://schemas.openxmlformats.org/officeDocument/2006/relationships/hyperlink" Id="rId79" Target="https://doi.org/10.1038/nprot.2016.095" TargetMode="External" /><Relationship Type="http://schemas.openxmlformats.org/officeDocument/2006/relationships/hyperlink" Id="rId67" Target="https://doi.org/10.1038/s42003-020-0849-9" TargetMode="External" /><Relationship Type="http://schemas.openxmlformats.org/officeDocument/2006/relationships/hyperlink" Id="rId65" Target="https://doi.org/10.1080/01652176.2016.1277281" TargetMode="External" /><Relationship Type="http://schemas.openxmlformats.org/officeDocument/2006/relationships/hyperlink" Id="rId51" Target="https://doi.org/10.1099/0022-1317-81-10-2431" TargetMode="External" /><Relationship Type="http://schemas.openxmlformats.org/officeDocument/2006/relationships/hyperlink" Id="rId59" Target="https://doi.org/10.1099/vir.0.010090-0" TargetMode="External" /><Relationship Type="http://schemas.openxmlformats.org/officeDocument/2006/relationships/hyperlink" Id="rId38" Target="https://doi.org/10.1099/vir.0.19497-0" TargetMode="External" /><Relationship Type="http://schemas.openxmlformats.org/officeDocument/2006/relationships/hyperlink" Id="rId71" Target="https://doi.org/10.1111/cmi.12053" TargetMode="External" /><Relationship Type="http://schemas.openxmlformats.org/officeDocument/2006/relationships/hyperlink" Id="rId73" Target="https://doi.org/10.1128/jvi.45.1.185-191.1983" TargetMode="External" /><Relationship Type="http://schemas.openxmlformats.org/officeDocument/2006/relationships/hyperlink" Id="rId42" Target="https://doi.org/10.1128/jvi.77.13.7590-7600.2003" TargetMode="External" /><Relationship Type="http://schemas.openxmlformats.org/officeDocument/2006/relationships/hyperlink" Id="rId83" Target="https://qubeshub.org/resources/fastqc" TargetMode="External" /><Relationship Type="http://schemas.openxmlformats.org/officeDocument/2006/relationships/hyperlink" Id="rId28" Target="https://www.ncbi.nlm.nih.gov/genome/?term=Meleagris+gallopavo" TargetMode="External" /><Relationship Type="http://schemas.openxmlformats.org/officeDocument/2006/relationships/hyperlink" Id="rId27" Target="https://www.ncbi.nlm.nih.gov/nuccore/AY849321.1/" TargetMode="External" /><Relationship Type="http://schemas.openxmlformats.org/officeDocument/2006/relationships/hyperlink" Id="rId77" Target="https://www.sciencedirect.com/science/article/abs/pii/S016817021830529X?via%3Dihub" TargetMode="External" /><Relationship Type="http://schemas.openxmlformats.org/officeDocument/2006/relationships/hyperlink" Id="rId20"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Elucidating the Transcriptome of Turkey Hemorrhagic Enteritis Virus</dc:title>
  <dc:creator/>
  <cp:keywords/>
  <dcterms:created xsi:type="dcterms:W3CDTF">2023-08-21T22:33:49Z</dcterms:created>
  <dcterms:modified xsi:type="dcterms:W3CDTF">2023-08-21T22:33:49Z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transcriptome_refs.bib</vt:lpwstr>
  </property>
  <property fmtid="{D5CDD505-2E9C-101B-9397-08002B2CF9AE}" pid="4" name="csl">
    <vt:lpwstr>asm.csl</vt:lpwstr>
  </property>
  <property fmtid="{D5CDD505-2E9C-101B-9397-08002B2CF9AE}" pid="5" name="editor_options">
    <vt:lpwstr/>
  </property>
  <property fmtid="{D5CDD505-2E9C-101B-9397-08002B2CF9AE}" pid="6" name="font-size">
    <vt:lpwstr>11pt</vt:lpwstr>
  </property>
  <property fmtid="{D5CDD505-2E9C-101B-9397-08002B2CF9AE}" pid="7" name="geometry">
    <vt:lpwstr>margin=1in</vt:lpwstr>
  </property>
  <property fmtid="{D5CDD505-2E9C-101B-9397-08002B2CF9AE}" pid="8" name="header-includes">
    <vt:lpwstr/>
  </property>
  <property fmtid="{D5CDD505-2E9C-101B-9397-08002B2CF9AE}" pid="9" name="output">
    <vt:lpwstr/>
  </property>
</Properties>
</file>